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A961A" w14:textId="77777777" w:rsidR="2BEE66E0" w:rsidRDefault="00AD147E" w:rsidP="0DB04EDE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sz w:val="20"/>
        </w:rPr>
        <w:t>016 Manantiales amenazados: actuar con urgencia en favor de los sistemas de agua dulce descuidados</w:t>
      </w:r>
    </w:p>
    <w:p w14:paraId="25E73D9C" w14:textId="0D3256D5" w:rsidR="000F38D3" w:rsidRPr="00D771A5" w:rsidRDefault="2BEE66E0" w:rsidP="006552B0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CONSIDERANDO que los manantiales, debido a sus procesos hidrogeológicos, tienen un interés geológico considerable, y se encuentran a menudo situados en zonas con un rico patrimonio geológico;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CONSIDERANDO TAMBIÉN que los manantiales conectan las aguas subterráneas con las superficiales, actuando como conexiones vitales entre estos ecosistemas y sustentando una biodiversidad única;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TENIENDO EN CUENTA ADEMÁS que los manantiales naturales están entre los biotopos terrestres más ricos, y que a menudo albergan cientos de especies en unos pocos metros cuadrados, convirtiéndolos en lugares de alta biodiversidad y en situación crítica;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 xml:space="preserve">CONSIDERANDO ASIMISMO que los manantiales tienen una importancia </w:t>
      </w:r>
      <w:r w:rsidR="00FC6B86">
        <w:rPr>
          <w:rFonts w:ascii="Arial" w:hAnsi="Arial"/>
          <w:sz w:val="20"/>
        </w:rPr>
        <w:t xml:space="preserve">medioambiental, </w:t>
      </w:r>
      <w:r>
        <w:rPr>
          <w:rFonts w:ascii="Arial" w:hAnsi="Arial"/>
          <w:sz w:val="20"/>
        </w:rPr>
        <w:t>cultural, espiritual y relig</w:t>
      </w:r>
      <w:r w:rsidR="00FC6B86">
        <w:rPr>
          <w:rFonts w:ascii="Arial" w:hAnsi="Arial"/>
          <w:sz w:val="20"/>
        </w:rPr>
        <w:t>iosa en muchas partes del mundo</w:t>
      </w:r>
      <w:r w:rsidR="00FC6B86" w:rsidRPr="00FC6B86">
        <w:rPr>
          <w:rFonts w:ascii="Arial" w:hAnsi="Arial"/>
          <w:sz w:val="20"/>
        </w:rPr>
        <w:t>, incluso para los Pueblos Indígenas y las comunidades locales;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RESALTANDO que los manantiales contienen especies de un valor biotecnológico potencialmente alto, debido a sus características únicas;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CONSCIENTE de que los manantiales están entre los hábitats más raros y frágiles, y que están amenazados por el cambio climático, la contaminación de las aguas subterráneas y la sobreexplotación de los recursos hídricos;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PREOCUPADO por la pérdida acelerada de los manantiales y por la desaparición de manantiales enteros a nivel territorial;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 xml:space="preserve">PREOCUPADO TAMBIÉN porque esta tendencia puede estar ocultando una extinción biológica silenciosa pero </w:t>
      </w:r>
      <w:r w:rsidR="00FC6B86">
        <w:rPr>
          <w:rFonts w:ascii="Arial" w:hAnsi="Arial"/>
          <w:sz w:val="20"/>
        </w:rPr>
        <w:t>extensa</w:t>
      </w:r>
      <w:r>
        <w:rPr>
          <w:rFonts w:ascii="Arial" w:hAnsi="Arial"/>
          <w:sz w:val="20"/>
        </w:rPr>
        <w:t>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RECONOCIENDO que gran parte de la biota de los hábitats de los manantiales sigue sin ser descubierta;</w:t>
      </w:r>
      <w:r>
        <w:rPr>
          <w:rFonts w:ascii="Arial" w:hAnsi="Arial"/>
          <w:sz w:val="20"/>
        </w:rPr>
        <w:br/>
      </w:r>
    </w:p>
    <w:p w14:paraId="33334970" w14:textId="77777777" w:rsidR="006D1212" w:rsidRDefault="2BEE66E0" w:rsidP="006552B0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CONSCIENTE de la crisis de identificación, que está provocando que cada vez haya </w:t>
      </w:r>
      <w:r w:rsidR="006D1212">
        <w:rPr>
          <w:rFonts w:ascii="Arial" w:hAnsi="Arial"/>
          <w:sz w:val="20"/>
        </w:rPr>
        <w:t xml:space="preserve">un menor número de </w:t>
      </w:r>
      <w:r>
        <w:rPr>
          <w:rFonts w:ascii="Arial" w:hAnsi="Arial"/>
          <w:sz w:val="20"/>
        </w:rPr>
        <w:t>especialistas familiarizados con la biodiversidad de los manantiales; y</w:t>
      </w:r>
      <w:r w:rsidR="006D1212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PONIENDO DE RELIEVE ADEMÁS la necesidad urgente de crear capacidad en la comunidad científica y conservacionista para garantizar que los esfuerzos de conservación se basen en datos científicos y sean eficaces;</w:t>
      </w:r>
    </w:p>
    <w:p w14:paraId="51951744" w14:textId="6CD07267" w:rsidR="006D1212" w:rsidRPr="006D1212" w:rsidRDefault="006D1212" w:rsidP="006D1212">
      <w:pPr>
        <w:spacing w:after="0" w:line="240" w:lineRule="auto"/>
        <w:rPr>
          <w:rFonts w:ascii="Arial" w:hAnsi="Arial"/>
          <w:sz w:val="20"/>
        </w:rPr>
      </w:pPr>
      <w:r w:rsidRPr="006D1212">
        <w:rPr>
          <w:rFonts w:ascii="Arial" w:hAnsi="Arial"/>
          <w:sz w:val="20"/>
        </w:rPr>
        <w:t>CONSIDERANDO</w:t>
      </w:r>
      <w:r>
        <w:rPr>
          <w:rFonts w:ascii="Arial" w:hAnsi="Arial"/>
          <w:sz w:val="20"/>
        </w:rPr>
        <w:t xml:space="preserve"> que l</w:t>
      </w:r>
      <w:r w:rsidRPr="006D1212">
        <w:rPr>
          <w:rFonts w:ascii="Arial" w:hAnsi="Arial"/>
          <w:sz w:val="20"/>
        </w:rPr>
        <w:t>os manantiales son, en sí mismos, lugares de interés geológico que generan rocas que conservan la historia geológica de la Tierra y de la vida y, en particular, del cambio climático. Algunos son el resultado de procesos geológicos excepcionales, como los manantiales termales o de agua salada, que presentan un gran interés científico, educativo y turístico</w:t>
      </w:r>
      <w:r w:rsidR="00B1625A">
        <w:rPr>
          <w:rFonts w:ascii="Arial" w:hAnsi="Arial"/>
          <w:sz w:val="20"/>
        </w:rPr>
        <w:t>;</w:t>
      </w:r>
    </w:p>
    <w:p w14:paraId="5FAA73C7" w14:textId="77777777" w:rsidR="006D1212" w:rsidRPr="006D1212" w:rsidRDefault="006D1212" w:rsidP="006D1212">
      <w:pPr>
        <w:spacing w:after="0" w:line="240" w:lineRule="auto"/>
        <w:rPr>
          <w:rFonts w:ascii="Arial" w:eastAsiaTheme="minorHAnsi" w:hAnsi="Arial" w:cs="Arial"/>
          <w:sz w:val="20"/>
          <w:szCs w:val="20"/>
          <w:lang w:eastAsia="en-US"/>
        </w:rPr>
      </w:pPr>
    </w:p>
    <w:p w14:paraId="29287E99" w14:textId="77777777" w:rsidR="006D1212" w:rsidRPr="006D1212" w:rsidRDefault="006D1212" w:rsidP="006D1212">
      <w:pPr>
        <w:spacing w:after="0" w:line="240" w:lineRule="auto"/>
        <w:rPr>
          <w:rFonts w:ascii="Arial" w:hAnsi="Arial"/>
          <w:sz w:val="20"/>
        </w:rPr>
      </w:pPr>
      <w:r w:rsidRPr="006D1212">
        <w:rPr>
          <w:rFonts w:ascii="Arial" w:hAnsi="Arial"/>
          <w:sz w:val="20"/>
        </w:rPr>
        <w:t>CONSIDERANDO que los manantiales han sido utilizados desde siempre, siendo uno de los mejores ejemplos de usos y conocimientos tradicionales de la geodiversidad (antiguos balnearios, molinos, salinas interiores, etc.), que urge preservar y poner en valor para que no se pierda la memoria de los Pueblos Indígenas y de las comunidades locales; y</w:t>
      </w:r>
    </w:p>
    <w:p w14:paraId="118D7D3D" w14:textId="77777777" w:rsidR="006D1212" w:rsidRPr="006D1212" w:rsidRDefault="006D1212" w:rsidP="006D1212">
      <w:pPr>
        <w:spacing w:after="0" w:line="240" w:lineRule="auto"/>
        <w:rPr>
          <w:rFonts w:ascii="Arial" w:hAnsi="Arial"/>
          <w:sz w:val="20"/>
        </w:rPr>
      </w:pPr>
    </w:p>
    <w:p w14:paraId="338BFA4A" w14:textId="371252AB" w:rsidR="0DB04EDE" w:rsidRPr="006D1212" w:rsidRDefault="006D1212" w:rsidP="006552B0">
      <w:p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6D1212">
        <w:rPr>
          <w:rFonts w:ascii="Arial" w:hAnsi="Arial"/>
          <w:sz w:val="20"/>
        </w:rPr>
        <w:t>CONSCIENTE de la crisis de identificación, que hace que cada vez haya menos especialistas familiarizados con la biodiversidad y la geodiversidad de los manantiales</w:t>
      </w:r>
      <w:r w:rsidR="00B1625A">
        <w:rPr>
          <w:rFonts w:ascii="Arial" w:hAnsi="Arial"/>
          <w:sz w:val="20"/>
        </w:rPr>
        <w:t>;</w:t>
      </w:r>
      <w:r w:rsidR="2BEE66E0" w:rsidRPr="006D1212">
        <w:rPr>
          <w:rFonts w:ascii="Arial" w:hAnsi="Arial"/>
          <w:sz w:val="20"/>
        </w:rPr>
        <w:br/>
      </w:r>
    </w:p>
    <w:p w14:paraId="1C0DB2FD" w14:textId="77777777" w:rsidR="00CA42D1" w:rsidRPr="00A54C0A" w:rsidRDefault="00CA42D1" w:rsidP="00CA42D1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54C0A">
        <w:rPr>
          <w:rFonts w:ascii="Arial" w:hAnsi="Arial" w:cs="Arial"/>
          <w:b/>
          <w:sz w:val="20"/>
          <w:szCs w:val="20"/>
        </w:rPr>
        <w:t>El Congreso Mundial de la Naturaleza de la UICN 2025, en su período de sesiones de Abu Dabi (Emiratos Árabes Unidos):</w:t>
      </w:r>
    </w:p>
    <w:p w14:paraId="54986009" w14:textId="77777777" w:rsidR="007A068B" w:rsidRPr="007A068B" w:rsidRDefault="605CB39C" w:rsidP="007A068B">
      <w:pPr>
        <w:spacing w:after="0" w:line="240" w:lineRule="auto"/>
        <w:rPr>
          <w:rFonts w:ascii="Arial" w:eastAsiaTheme="minorHAnsi" w:hAnsi="Arial" w:cs="Arial"/>
          <w:sz w:val="20"/>
          <w:szCs w:val="20"/>
        </w:rPr>
      </w:pPr>
      <w:r>
        <w:br/>
      </w:r>
      <w:r>
        <w:rPr>
          <w:rFonts w:ascii="Arial" w:hAnsi="Arial"/>
          <w:sz w:val="20"/>
        </w:rPr>
        <w:t xml:space="preserve">1. SOLICITA al Director General que integre los manantiales en los elementos de la gestión responsable del agua del </w:t>
      </w:r>
      <w:r w:rsidR="00C33CB5">
        <w:rPr>
          <w:rFonts w:ascii="Arial" w:hAnsi="Arial"/>
          <w:sz w:val="20"/>
        </w:rPr>
        <w:t>borrador del</w:t>
      </w:r>
      <w:r>
        <w:rPr>
          <w:rFonts w:ascii="Arial" w:hAnsi="Arial"/>
          <w:sz w:val="20"/>
        </w:rPr>
        <w:t xml:space="preserve"> Programa Naturaleza 2030 de la UICN (2026</w:t>
      </w:r>
      <w:r w:rsidR="00930E5B" w:rsidRPr="00930E5B">
        <w:rPr>
          <w:rFonts w:ascii="Arial" w:hAnsi="Arial"/>
          <w:sz w:val="20"/>
        </w:rPr>
        <w:t>-</w:t>
      </w:r>
      <w:r>
        <w:rPr>
          <w:rFonts w:ascii="Arial" w:hAnsi="Arial"/>
          <w:sz w:val="20"/>
        </w:rPr>
        <w:t>2029);</w:t>
      </w:r>
    </w:p>
    <w:p w14:paraId="74A92816" w14:textId="77777777" w:rsidR="00A0333C" w:rsidRPr="00040405" w:rsidRDefault="00546A87" w:rsidP="00A0333C">
      <w:pPr>
        <w:spacing w:after="0" w:line="240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/>
          <w:sz w:val="20"/>
        </w:rPr>
        <w:lastRenderedPageBreak/>
        <w:br/>
        <w:t xml:space="preserve">2. SOLICITA a las Comisiones que creen un grupo de trabajo </w:t>
      </w:r>
      <w:r w:rsidR="004A4A11">
        <w:rPr>
          <w:rFonts w:ascii="Arial" w:hAnsi="Arial"/>
          <w:sz w:val="20"/>
        </w:rPr>
        <w:t>intercomisiones</w:t>
      </w:r>
      <w:r w:rsidR="003875C9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sobre la protección de los manantiales, </w:t>
      </w:r>
      <w:r w:rsidR="004A4A11">
        <w:rPr>
          <w:rFonts w:ascii="Arial" w:hAnsi="Arial"/>
          <w:sz w:val="20"/>
        </w:rPr>
        <w:t xml:space="preserve">integrado por miembros de </w:t>
      </w:r>
      <w:r>
        <w:rPr>
          <w:rFonts w:ascii="Arial" w:hAnsi="Arial"/>
          <w:sz w:val="20"/>
        </w:rPr>
        <w:t>la Comisión para la Supervivencia de las Especies (CSE), la Comisión Mundial de Áreas Protegidas (CMAP) y la Comisión de Gestión de Ecosistemas (CGE);</w:t>
      </w:r>
      <w:r>
        <w:rPr>
          <w:rFonts w:ascii="Arial" w:hAnsi="Arial"/>
          <w:sz w:val="20"/>
        </w:rPr>
        <w:br/>
      </w:r>
    </w:p>
    <w:p w14:paraId="1873C6A3" w14:textId="77777777" w:rsidR="009C108B" w:rsidRDefault="00A0333C">
      <w:pPr>
        <w:spacing w:after="0" w:line="240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/>
          <w:sz w:val="20"/>
        </w:rPr>
        <w:t>3. SOLICITA a los miembros de las Comisiones CSE y CGE que contribuyan al seguimiento, la restauración</w:t>
      </w:r>
      <w:r w:rsidR="000D7E86">
        <w:rPr>
          <w:rFonts w:ascii="Arial" w:hAnsi="Arial"/>
          <w:sz w:val="20"/>
        </w:rPr>
        <w:t xml:space="preserve"> y</w:t>
      </w:r>
      <w:r>
        <w:rPr>
          <w:rFonts w:ascii="Arial" w:hAnsi="Arial"/>
          <w:sz w:val="20"/>
        </w:rPr>
        <w:t xml:space="preserve"> la recuperación </w:t>
      </w:r>
      <w:r w:rsidR="000D7E86">
        <w:rPr>
          <w:rFonts w:ascii="Arial" w:hAnsi="Arial"/>
          <w:sz w:val="20"/>
        </w:rPr>
        <w:t xml:space="preserve">de la biodiversidad de los manantiales </w:t>
      </w:r>
      <w:r>
        <w:rPr>
          <w:rFonts w:ascii="Arial" w:hAnsi="Arial"/>
          <w:sz w:val="20"/>
        </w:rPr>
        <w:t xml:space="preserve">y </w:t>
      </w:r>
      <w:r w:rsidR="000D7E86">
        <w:rPr>
          <w:rFonts w:ascii="Arial" w:hAnsi="Arial"/>
          <w:sz w:val="20"/>
        </w:rPr>
        <w:t xml:space="preserve">a </w:t>
      </w:r>
      <w:r>
        <w:rPr>
          <w:rFonts w:ascii="Arial" w:hAnsi="Arial"/>
          <w:sz w:val="20"/>
        </w:rPr>
        <w:t>la evaluación de</w:t>
      </w:r>
      <w:r w:rsidR="000D7E86">
        <w:rPr>
          <w:rFonts w:ascii="Arial" w:hAnsi="Arial"/>
          <w:sz w:val="20"/>
        </w:rPr>
        <w:t xml:space="preserve"> su</w:t>
      </w:r>
      <w:r>
        <w:rPr>
          <w:rFonts w:ascii="Arial" w:hAnsi="Arial"/>
          <w:sz w:val="20"/>
        </w:rPr>
        <w:t xml:space="preserve"> estado en la Lista Roja;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4. INSTA a las Comisiones de la UICN a que aumenten la concienciación, refuercen la capacidad y promuevan esfuerzos para conservar e impulsar la protección de la biodiversidad de los manantiales;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5. ANIMA a los Estados Miembros y a sus gobiernos regionales a adoptar medidas eficaces para conservar la biodiversidad de los manantiales, la geodiversidad y el patrimonio geológico;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  <w:t>6. INSTA a los Estados Miembros a dar prioridad a la conservación de los manantiales en las políticas y estrategias de la Unión sobre diversidad biológica y geológica, así como a reconocer:</w:t>
      </w:r>
    </w:p>
    <w:p w14:paraId="2C980B65" w14:textId="1C6AAFF1" w:rsidR="009C108B" w:rsidRDefault="605CB39C">
      <w:pPr>
        <w:spacing w:after="0" w:line="240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/>
          <w:sz w:val="20"/>
        </w:rPr>
        <w:br/>
        <w:t>a. los manantiales como biotopos clave para la biodiversidad acuática, y a darles prioridad como hábitats de interés para la comunidad;</w:t>
      </w:r>
    </w:p>
    <w:p w14:paraId="5FF9F3A9" w14:textId="77777777" w:rsidR="006D1212" w:rsidRDefault="605CB39C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br/>
        <w:t>b. los manantiales naturales como ecosistemas dependientes de las aguas subterráneas, y a fomentar su seguimiento</w:t>
      </w:r>
      <w:r w:rsidR="006D1212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gestión</w:t>
      </w:r>
      <w:r w:rsidR="006D1212">
        <w:rPr>
          <w:rFonts w:ascii="Arial" w:hAnsi="Arial"/>
          <w:sz w:val="20"/>
        </w:rPr>
        <w:t xml:space="preserve"> y recuperación</w:t>
      </w:r>
      <w:r>
        <w:rPr>
          <w:rFonts w:ascii="Arial" w:hAnsi="Arial"/>
          <w:sz w:val="20"/>
        </w:rPr>
        <w:t>; y</w:t>
      </w:r>
    </w:p>
    <w:p w14:paraId="13058FA9" w14:textId="77777777" w:rsidR="006D1212" w:rsidRDefault="006D1212">
      <w:pPr>
        <w:spacing w:after="0" w:line="240" w:lineRule="auto"/>
        <w:rPr>
          <w:rFonts w:ascii="Arial" w:hAnsi="Arial"/>
          <w:sz w:val="20"/>
        </w:rPr>
      </w:pPr>
    </w:p>
    <w:p w14:paraId="57650422" w14:textId="63553DB5" w:rsidR="009C108B" w:rsidRDefault="006D1212">
      <w:pPr>
        <w:spacing w:after="0" w:line="240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c. los </w:t>
      </w:r>
      <w:r w:rsidRPr="006D1212">
        <w:rPr>
          <w:rFonts w:ascii="Arial" w:hAnsi="Arial"/>
          <w:sz w:val="20"/>
        </w:rPr>
        <w:t>manantiales como lugares de interés geológico y como lugares de usos y conocimientos tradicionales de la geodiversidad</w:t>
      </w:r>
      <w:r w:rsidR="00B1625A">
        <w:rPr>
          <w:rFonts w:ascii="Arial" w:hAnsi="Arial"/>
          <w:sz w:val="20"/>
        </w:rPr>
        <w:t>;</w:t>
      </w:r>
      <w:r w:rsidR="605CB39C">
        <w:rPr>
          <w:rFonts w:ascii="Arial" w:hAnsi="Arial"/>
          <w:sz w:val="20"/>
        </w:rPr>
        <w:br/>
      </w:r>
      <w:r w:rsidR="605CB39C">
        <w:rPr>
          <w:rFonts w:ascii="Arial" w:hAnsi="Arial"/>
          <w:sz w:val="20"/>
        </w:rPr>
        <w:br/>
        <w:t>7. INSTA a los Estados y a los organismos públicos a:</w:t>
      </w:r>
    </w:p>
    <w:p w14:paraId="595C7FF7" w14:textId="77777777" w:rsidR="009C108B" w:rsidRDefault="605CB39C">
      <w:pPr>
        <w:spacing w:after="0" w:line="240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/>
          <w:sz w:val="20"/>
        </w:rPr>
        <w:br/>
        <w:t xml:space="preserve">a. incluir los </w:t>
      </w:r>
      <w:r w:rsidR="006D1212">
        <w:rPr>
          <w:rFonts w:ascii="Arial" w:hAnsi="Arial"/>
          <w:sz w:val="20"/>
        </w:rPr>
        <w:t xml:space="preserve">objetivos de conservación de </w:t>
      </w:r>
      <w:r>
        <w:rPr>
          <w:rFonts w:ascii="Arial" w:hAnsi="Arial"/>
          <w:sz w:val="20"/>
        </w:rPr>
        <w:t>manantiales y piscinas en l</w:t>
      </w:r>
      <w:r w:rsidR="006D1212">
        <w:rPr>
          <w:rFonts w:ascii="Arial" w:hAnsi="Arial"/>
          <w:sz w:val="20"/>
        </w:rPr>
        <w:t>as</w:t>
      </w:r>
      <w:r w:rsidR="006D1212" w:rsidRPr="006D1212">
        <w:rPr>
          <w:rFonts w:ascii="Arial" w:hAnsi="Arial"/>
          <w:sz w:val="20"/>
        </w:rPr>
        <w:t xml:space="preserve"> políticas o estrategias nacionales;</w:t>
      </w:r>
    </w:p>
    <w:p w14:paraId="4CA60AFC" w14:textId="77777777" w:rsidR="009C108B" w:rsidRDefault="605CB39C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br/>
        <w:t xml:space="preserve">b. aumentar la </w:t>
      </w:r>
      <w:r w:rsidR="006D1212">
        <w:rPr>
          <w:rFonts w:ascii="Arial" w:hAnsi="Arial"/>
          <w:sz w:val="20"/>
        </w:rPr>
        <w:t>identifica</w:t>
      </w:r>
      <w:r>
        <w:rPr>
          <w:rFonts w:ascii="Arial" w:hAnsi="Arial"/>
          <w:sz w:val="20"/>
        </w:rPr>
        <w:t xml:space="preserve">ción de los manantiales y las piscinas </w:t>
      </w:r>
      <w:r w:rsidR="006D1212">
        <w:rPr>
          <w:rFonts w:ascii="Arial" w:hAnsi="Arial"/>
          <w:sz w:val="20"/>
        </w:rPr>
        <w:t>como</w:t>
      </w:r>
      <w:r>
        <w:rPr>
          <w:rFonts w:ascii="Arial" w:hAnsi="Arial"/>
          <w:sz w:val="20"/>
        </w:rPr>
        <w:t xml:space="preserve"> Áreas </w:t>
      </w:r>
      <w:r w:rsidR="006D1212">
        <w:rPr>
          <w:rFonts w:ascii="Arial" w:hAnsi="Arial"/>
          <w:sz w:val="20"/>
        </w:rPr>
        <w:t xml:space="preserve">Clave para la Biodiversidad y su inclusión en Áreas </w:t>
      </w:r>
      <w:r>
        <w:rPr>
          <w:rFonts w:ascii="Arial" w:hAnsi="Arial"/>
          <w:sz w:val="20"/>
        </w:rPr>
        <w:t>Protegidas y Conservadas (Meta 3 del Marco Mundial de Biodiversidad de Kunming-Montreal);</w:t>
      </w:r>
    </w:p>
    <w:p w14:paraId="190040BD" w14:textId="77777777" w:rsidR="00723799" w:rsidRDefault="00723799">
      <w:pPr>
        <w:spacing w:after="0" w:line="240" w:lineRule="auto"/>
        <w:rPr>
          <w:rFonts w:ascii="Arial" w:hAnsi="Arial"/>
          <w:sz w:val="20"/>
        </w:rPr>
      </w:pPr>
    </w:p>
    <w:p w14:paraId="39C0484F" w14:textId="77777777" w:rsidR="00723799" w:rsidRDefault="00723799">
      <w:pPr>
        <w:spacing w:after="0" w:line="240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/>
          <w:sz w:val="20"/>
        </w:rPr>
        <w:t>c. fomentar</w:t>
      </w:r>
      <w:r w:rsidRPr="00723799">
        <w:rPr>
          <w:rFonts w:ascii="Arial" w:hAnsi="Arial"/>
          <w:sz w:val="20"/>
        </w:rPr>
        <w:t xml:space="preserve"> y compartir las mejores prácticas de restauración de manantiales en apoyo de</w:t>
      </w:r>
      <w:r>
        <w:rPr>
          <w:rFonts w:ascii="Arial" w:hAnsi="Arial"/>
          <w:sz w:val="20"/>
        </w:rPr>
        <w:t xml:space="preserve"> la Meta</w:t>
      </w:r>
      <w:r w:rsidRPr="00723799">
        <w:rPr>
          <w:rFonts w:ascii="Arial" w:hAnsi="Arial"/>
          <w:sz w:val="20"/>
        </w:rPr>
        <w:t xml:space="preserve"> 2 del Marco Mundial </w:t>
      </w:r>
      <w:r>
        <w:rPr>
          <w:rFonts w:ascii="Arial" w:hAnsi="Arial"/>
          <w:sz w:val="20"/>
        </w:rPr>
        <w:t>de</w:t>
      </w:r>
      <w:r w:rsidRPr="00723799">
        <w:rPr>
          <w:rFonts w:ascii="Arial" w:hAnsi="Arial"/>
          <w:sz w:val="20"/>
        </w:rPr>
        <w:t xml:space="preserve"> Biodiversidad </w:t>
      </w:r>
      <w:r>
        <w:rPr>
          <w:rFonts w:ascii="Arial" w:hAnsi="Arial"/>
          <w:sz w:val="20"/>
        </w:rPr>
        <w:t xml:space="preserve">de </w:t>
      </w:r>
      <w:r w:rsidRPr="00723799">
        <w:rPr>
          <w:rFonts w:ascii="Arial" w:hAnsi="Arial"/>
          <w:sz w:val="20"/>
        </w:rPr>
        <w:t>Kunming-Montreal</w:t>
      </w:r>
      <w:r>
        <w:rPr>
          <w:rFonts w:ascii="Arial" w:hAnsi="Arial"/>
          <w:sz w:val="20"/>
        </w:rPr>
        <w:t>;</w:t>
      </w:r>
    </w:p>
    <w:p w14:paraId="20A2DAA3" w14:textId="77777777" w:rsidR="00723799" w:rsidRPr="00723799" w:rsidRDefault="605CB39C" w:rsidP="00723799">
      <w:pPr>
        <w:spacing w:after="0" w:line="240" w:lineRule="auto"/>
        <w:rPr>
          <w:rFonts w:ascii="Arial" w:eastAsiaTheme="minorHAnsi" w:hAnsi="Arial" w:cs="Arial"/>
          <w:sz w:val="20"/>
          <w:szCs w:val="20"/>
          <w:lang w:eastAsia="en-US"/>
        </w:rPr>
      </w:pPr>
      <w:r w:rsidRPr="00723799">
        <w:rPr>
          <w:rFonts w:ascii="Arial" w:hAnsi="Arial"/>
          <w:sz w:val="20"/>
        </w:rPr>
        <w:br/>
      </w:r>
      <w:r w:rsidR="00723799" w:rsidRPr="00723799">
        <w:rPr>
          <w:rFonts w:ascii="Arial" w:eastAsiaTheme="minorHAnsi" w:hAnsi="Arial" w:cs="Arial"/>
          <w:sz w:val="20"/>
          <w:szCs w:val="20"/>
          <w:lang w:eastAsia="en-US"/>
        </w:rPr>
        <w:t xml:space="preserve">d. </w:t>
      </w:r>
      <w:r w:rsidR="00723799">
        <w:rPr>
          <w:rFonts w:ascii="Arial" w:eastAsiaTheme="minorHAnsi" w:hAnsi="Arial" w:cs="Arial"/>
          <w:sz w:val="20"/>
          <w:szCs w:val="20"/>
          <w:lang w:eastAsia="en-US"/>
        </w:rPr>
        <w:t>i</w:t>
      </w:r>
      <w:r w:rsidR="00723799" w:rsidRPr="00723799">
        <w:rPr>
          <w:rFonts w:ascii="Arial" w:eastAsiaTheme="minorHAnsi" w:hAnsi="Arial" w:cs="Arial"/>
          <w:sz w:val="20"/>
          <w:szCs w:val="20"/>
          <w:lang w:eastAsia="en-US"/>
        </w:rPr>
        <w:t>ncluir los manantiales en los inventarios locales y nacionales de lugares de interés geológico y de usos y conocimientos tradicionales de la geodiversidad;</w:t>
      </w:r>
    </w:p>
    <w:p w14:paraId="22AA7430" w14:textId="77777777" w:rsidR="00723799" w:rsidRPr="00723799" w:rsidRDefault="00723799" w:rsidP="00723799">
      <w:pPr>
        <w:spacing w:after="0" w:line="240" w:lineRule="auto"/>
        <w:rPr>
          <w:rFonts w:ascii="Arial" w:eastAsiaTheme="minorHAnsi" w:hAnsi="Arial" w:cs="Arial"/>
          <w:sz w:val="20"/>
          <w:szCs w:val="20"/>
          <w:lang w:eastAsia="en-US"/>
        </w:rPr>
      </w:pPr>
    </w:p>
    <w:p w14:paraId="0038082B" w14:textId="77777777" w:rsidR="00723799" w:rsidRPr="00723799" w:rsidRDefault="00723799" w:rsidP="00723799">
      <w:pPr>
        <w:spacing w:after="0" w:line="240" w:lineRule="auto"/>
        <w:rPr>
          <w:rFonts w:ascii="Arial" w:eastAsiaTheme="minorHAnsi" w:hAnsi="Arial" w:cs="Arial"/>
          <w:sz w:val="20"/>
          <w:szCs w:val="20"/>
          <w:lang w:eastAsia="en-US"/>
        </w:rPr>
      </w:pPr>
      <w:r w:rsidRPr="00723799">
        <w:rPr>
          <w:rFonts w:ascii="Arial" w:eastAsiaTheme="minorHAnsi" w:hAnsi="Arial" w:cs="Arial"/>
          <w:sz w:val="20"/>
          <w:szCs w:val="20"/>
          <w:lang w:eastAsia="en-US"/>
        </w:rPr>
        <w:t xml:space="preserve">e. </w:t>
      </w:r>
      <w:r>
        <w:rPr>
          <w:rFonts w:ascii="Arial" w:eastAsiaTheme="minorHAnsi" w:hAnsi="Arial" w:cs="Arial"/>
          <w:sz w:val="20"/>
          <w:szCs w:val="20"/>
          <w:lang w:eastAsia="en-US"/>
        </w:rPr>
        <w:t>a</w:t>
      </w:r>
      <w:r w:rsidRPr="00723799">
        <w:rPr>
          <w:rFonts w:ascii="Arial" w:eastAsiaTheme="minorHAnsi" w:hAnsi="Arial" w:cs="Arial"/>
          <w:sz w:val="20"/>
          <w:szCs w:val="20"/>
          <w:lang w:eastAsia="en-US"/>
        </w:rPr>
        <w:t>poyar a los especialistas en manantiales y su trabajo científico y técnico; y</w:t>
      </w:r>
    </w:p>
    <w:p w14:paraId="009E0BFA" w14:textId="77777777" w:rsidR="00723799" w:rsidRPr="00723799" w:rsidRDefault="00723799" w:rsidP="00723799">
      <w:pPr>
        <w:spacing w:after="0" w:line="240" w:lineRule="auto"/>
        <w:rPr>
          <w:rFonts w:ascii="Arial" w:eastAsiaTheme="minorHAnsi" w:hAnsi="Arial" w:cs="Arial"/>
          <w:sz w:val="20"/>
          <w:szCs w:val="20"/>
          <w:lang w:eastAsia="en-US"/>
        </w:rPr>
      </w:pPr>
    </w:p>
    <w:p w14:paraId="4A3E2BB2" w14:textId="6E99CF7F" w:rsidR="00723799" w:rsidRPr="00723799" w:rsidRDefault="00723799" w:rsidP="00723799">
      <w:pPr>
        <w:spacing w:after="0" w:line="240" w:lineRule="auto"/>
        <w:rPr>
          <w:rFonts w:ascii="Arial" w:eastAsiaTheme="minorHAnsi" w:hAnsi="Arial" w:cs="Arial"/>
          <w:sz w:val="20"/>
          <w:szCs w:val="20"/>
          <w:lang w:eastAsia="en-US"/>
        </w:rPr>
      </w:pPr>
      <w:r w:rsidRPr="00723799">
        <w:rPr>
          <w:rFonts w:ascii="Arial" w:eastAsiaTheme="minorHAnsi" w:hAnsi="Arial" w:cs="Arial"/>
          <w:sz w:val="20"/>
          <w:szCs w:val="20"/>
          <w:lang w:eastAsia="en-US"/>
        </w:rPr>
        <w:t xml:space="preserve">f. </w:t>
      </w:r>
      <w:r>
        <w:rPr>
          <w:rFonts w:ascii="Arial" w:eastAsiaTheme="minorHAnsi" w:hAnsi="Arial" w:cs="Arial"/>
          <w:sz w:val="20"/>
          <w:szCs w:val="20"/>
          <w:lang w:eastAsia="en-US"/>
        </w:rPr>
        <w:t>apoyar el d</w:t>
      </w:r>
      <w:r w:rsidRPr="00723799">
        <w:rPr>
          <w:rFonts w:ascii="Arial" w:eastAsiaTheme="minorHAnsi" w:hAnsi="Arial" w:cs="Arial"/>
          <w:sz w:val="20"/>
          <w:szCs w:val="20"/>
          <w:lang w:eastAsia="en-US"/>
        </w:rPr>
        <w:t>esarrollo sostenible de los manantiales con fines científicos, educativos o turísticos para co</w:t>
      </w:r>
      <w:r>
        <w:rPr>
          <w:rFonts w:ascii="Arial" w:eastAsiaTheme="minorHAnsi" w:hAnsi="Arial" w:cs="Arial"/>
          <w:sz w:val="20"/>
          <w:szCs w:val="20"/>
          <w:lang w:eastAsia="en-US"/>
        </w:rPr>
        <w:t>ncienciar sobre su conservación</w:t>
      </w:r>
      <w:r w:rsidR="00B1625A">
        <w:rPr>
          <w:rFonts w:ascii="Arial" w:eastAsiaTheme="minorHAnsi" w:hAnsi="Arial" w:cs="Arial"/>
          <w:sz w:val="20"/>
          <w:szCs w:val="20"/>
          <w:lang w:eastAsia="en-US"/>
        </w:rPr>
        <w:t>; y</w:t>
      </w:r>
    </w:p>
    <w:p w14:paraId="4E1F2484" w14:textId="77777777" w:rsidR="605CB39C" w:rsidRDefault="605CB39C" w:rsidP="00723799">
      <w:pPr>
        <w:spacing w:after="0" w:line="240" w:lineRule="auto"/>
        <w:rPr>
          <w:rFonts w:ascii="Arial" w:eastAsiaTheme="minorHAnsi" w:hAnsi="Arial" w:cs="Arial"/>
          <w:sz w:val="20"/>
          <w:szCs w:val="20"/>
        </w:rPr>
      </w:pPr>
    </w:p>
    <w:p w14:paraId="1BC8BABD" w14:textId="77777777" w:rsidR="00B455BF" w:rsidRPr="00B455BF" w:rsidRDefault="00B455BF" w:rsidP="00B455BF">
      <w:pPr>
        <w:spacing w:after="0" w:line="240" w:lineRule="auto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</w:rPr>
        <w:t xml:space="preserve">8. </w:t>
      </w:r>
      <w:r w:rsidRPr="00B455BF">
        <w:rPr>
          <w:rFonts w:ascii="Arial" w:eastAsiaTheme="minorHAnsi" w:hAnsi="Arial" w:cs="Arial"/>
          <w:sz w:val="20"/>
          <w:szCs w:val="20"/>
          <w:lang w:eastAsia="en-US"/>
        </w:rPr>
        <w:t>A</w:t>
      </w:r>
      <w:r>
        <w:rPr>
          <w:rFonts w:ascii="Arial" w:eastAsiaTheme="minorHAnsi" w:hAnsi="Arial" w:cs="Arial"/>
          <w:sz w:val="20"/>
          <w:szCs w:val="20"/>
          <w:lang w:eastAsia="en-US"/>
        </w:rPr>
        <w:t>LIENTA</w:t>
      </w:r>
      <w:r w:rsidRPr="00B455BF">
        <w:rPr>
          <w:rFonts w:ascii="Arial" w:eastAsiaTheme="minorHAnsi" w:hAnsi="Arial" w:cs="Arial"/>
          <w:sz w:val="20"/>
          <w:szCs w:val="20"/>
          <w:lang w:eastAsia="en-US"/>
        </w:rPr>
        <w:t xml:space="preserve"> a los Estados y organismos gubernamentales a explorar la posibilidad de proponer la inclusión de manantiales sagrados en la Lista del Patrimonio Mundial de la UNESCO,</w:t>
      </w:r>
    </w:p>
    <w:p w14:paraId="7EB0B5E1" w14:textId="77777777" w:rsidR="00B455BF" w:rsidRPr="00723799" w:rsidRDefault="00B455BF" w:rsidP="00B455BF">
      <w:pPr>
        <w:spacing w:after="0" w:line="240" w:lineRule="auto"/>
        <w:rPr>
          <w:rFonts w:ascii="Arial" w:eastAsiaTheme="minorHAnsi" w:hAnsi="Arial" w:cs="Arial"/>
          <w:sz w:val="20"/>
          <w:szCs w:val="20"/>
          <w:lang w:eastAsia="en-US"/>
        </w:rPr>
      </w:pPr>
      <w:r w:rsidRPr="00B455BF">
        <w:rPr>
          <w:rFonts w:ascii="Arial" w:eastAsiaTheme="minorHAnsi" w:hAnsi="Arial" w:cs="Arial"/>
          <w:sz w:val="20"/>
          <w:szCs w:val="20"/>
          <w:lang w:eastAsia="en-US"/>
        </w:rPr>
        <w:t xml:space="preserve"> señalando que el Valor Universal Excepcional (VUE) sigue siendo el criterio para la inscripción en dicha Lista.</w:t>
      </w:r>
    </w:p>
    <w:sectPr w:rsidR="00B455BF" w:rsidRPr="00723799" w:rsidSect="00EC4E4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FA10A7B"/>
    <w:rsid w:val="000A1911"/>
    <w:rsid w:val="000C0A59"/>
    <w:rsid w:val="000C501B"/>
    <w:rsid w:val="000D7E86"/>
    <w:rsid w:val="000F38D3"/>
    <w:rsid w:val="00113FF0"/>
    <w:rsid w:val="00121DDF"/>
    <w:rsid w:val="00156B29"/>
    <w:rsid w:val="001A422E"/>
    <w:rsid w:val="00272417"/>
    <w:rsid w:val="00285E7F"/>
    <w:rsid w:val="00381D0E"/>
    <w:rsid w:val="003875C9"/>
    <w:rsid w:val="003F169A"/>
    <w:rsid w:val="004A27F8"/>
    <w:rsid w:val="004A4A11"/>
    <w:rsid w:val="00505929"/>
    <w:rsid w:val="00546A87"/>
    <w:rsid w:val="005A7EF7"/>
    <w:rsid w:val="005D1E23"/>
    <w:rsid w:val="005F5B9F"/>
    <w:rsid w:val="006552B0"/>
    <w:rsid w:val="006C7E86"/>
    <w:rsid w:val="006D1212"/>
    <w:rsid w:val="00723799"/>
    <w:rsid w:val="00774238"/>
    <w:rsid w:val="007A068B"/>
    <w:rsid w:val="008C0518"/>
    <w:rsid w:val="008E6BD6"/>
    <w:rsid w:val="00930E5B"/>
    <w:rsid w:val="009C108B"/>
    <w:rsid w:val="00A0333C"/>
    <w:rsid w:val="00A058A3"/>
    <w:rsid w:val="00A13310"/>
    <w:rsid w:val="00A54C0A"/>
    <w:rsid w:val="00AD147E"/>
    <w:rsid w:val="00AE38D0"/>
    <w:rsid w:val="00B1625A"/>
    <w:rsid w:val="00B272F8"/>
    <w:rsid w:val="00B455BF"/>
    <w:rsid w:val="00B652C8"/>
    <w:rsid w:val="00B83F1B"/>
    <w:rsid w:val="00C33CB5"/>
    <w:rsid w:val="00CA42D1"/>
    <w:rsid w:val="00D3239C"/>
    <w:rsid w:val="00D771A5"/>
    <w:rsid w:val="00DB76A6"/>
    <w:rsid w:val="00DE5E7B"/>
    <w:rsid w:val="00E03E0F"/>
    <w:rsid w:val="00E250BE"/>
    <w:rsid w:val="00E67FCC"/>
    <w:rsid w:val="00E72F53"/>
    <w:rsid w:val="00E80BAF"/>
    <w:rsid w:val="00EB43E2"/>
    <w:rsid w:val="00EC4E4C"/>
    <w:rsid w:val="00FC6B86"/>
    <w:rsid w:val="0A05FB1B"/>
    <w:rsid w:val="0DB04EDE"/>
    <w:rsid w:val="0E083205"/>
    <w:rsid w:val="1B39613F"/>
    <w:rsid w:val="1E318E4A"/>
    <w:rsid w:val="2BEE66E0"/>
    <w:rsid w:val="2DB05047"/>
    <w:rsid w:val="38484F07"/>
    <w:rsid w:val="39F0CE1D"/>
    <w:rsid w:val="47DDE6C5"/>
    <w:rsid w:val="4963CAE2"/>
    <w:rsid w:val="56A6ACE3"/>
    <w:rsid w:val="583B8957"/>
    <w:rsid w:val="58E272AA"/>
    <w:rsid w:val="5FA10A7B"/>
    <w:rsid w:val="605CB39C"/>
    <w:rsid w:val="6AE796A7"/>
    <w:rsid w:val="6B5CBB72"/>
    <w:rsid w:val="746569CA"/>
    <w:rsid w:val="79A364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AFFA8"/>
  <w15:docId w15:val="{4B6A8278-BDBF-49C8-90FD-B023356EB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E4C"/>
  </w:style>
  <w:style w:type="paragraph" w:styleId="Heading1">
    <w:name w:val="heading 1"/>
    <w:basedOn w:val="Normal"/>
    <w:next w:val="Normal"/>
    <w:link w:val="Heading1Char"/>
    <w:uiPriority w:val="9"/>
    <w:qFormat/>
    <w:rsid w:val="00EC4E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4E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C4E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C4E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C4E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C4E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C4E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C4E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C4E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E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C4E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C4E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C4E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EC4E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EC4E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EC4E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EC4E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EC4E4C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EC4E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EC4E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EC4E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4E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EC4E4C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EC4E4C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EC4E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4E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4E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4E4C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D147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742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42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42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42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423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6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B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13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073559-B13A-4243-8DBC-DD399DCFCB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99BBA1-A7CA-4012-A83A-447E3EA06C5D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E1F23B5F-D169-41D8-B385-EE4497CA86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882</Words>
  <Characters>5030</Characters>
  <Application>Microsoft Office Word</Application>
  <DocSecurity>0</DocSecurity>
  <Lines>41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GOODMAN David</cp:lastModifiedBy>
  <cp:revision>3</cp:revision>
  <dcterms:created xsi:type="dcterms:W3CDTF">2025-07-18T07:44:00Z</dcterms:created>
  <dcterms:modified xsi:type="dcterms:W3CDTF">2025-11-03T08:35:00Z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